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11248">
      <w:pPr>
        <w:snapToGrid w:val="0"/>
        <w:spacing w:before="312" w:beforeLines="100" w:line="360" w:lineRule="auto"/>
        <w:jc w:val="center"/>
        <w:rPr>
          <w:rFonts w:hint="eastAsia" w:ascii="仿宋" w:hAnsi="仿宋" w:eastAsia="仿宋"/>
          <w:b/>
          <w:sz w:val="36"/>
          <w:szCs w:val="36"/>
        </w:rPr>
      </w:pPr>
      <w:bookmarkStart w:id="0" w:name="_Toc66285010"/>
      <w:r>
        <w:rPr>
          <w:rFonts w:hint="eastAsia" w:ascii="仿宋" w:hAnsi="仿宋" w:eastAsia="仿宋"/>
          <w:b/>
          <w:sz w:val="36"/>
          <w:szCs w:val="36"/>
        </w:rPr>
        <w:t>数据合规专题</w:t>
      </w:r>
    </w:p>
    <w:p w14:paraId="10671B6B">
      <w:pPr>
        <w:snapToGrid w:val="0"/>
        <w:spacing w:after="156" w:afterLines="50" w:line="360" w:lineRule="auto"/>
        <w:jc w:val="center"/>
        <w:rPr>
          <w:rFonts w:hint="eastAsia" w:ascii="仿宋" w:hAnsi="仿宋" w:eastAsia="仿宋"/>
          <w:b/>
          <w:sz w:val="36"/>
          <w:szCs w:val="36"/>
        </w:rPr>
      </w:pPr>
      <w:r>
        <w:rPr>
          <w:rFonts w:hint="eastAsia" w:ascii="仿宋" w:hAnsi="仿宋" w:eastAsia="仿宋"/>
          <w:b/>
          <w:sz w:val="36"/>
          <w:szCs w:val="36"/>
        </w:rPr>
        <w:t>第二期</w:t>
      </w:r>
    </w:p>
    <w:p w14:paraId="1DDEBCCA">
      <w:pPr>
        <w:spacing w:before="156" w:beforeLines="50" w:after="156" w:afterLines="50"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个人信息处理者的义务</w:t>
      </w:r>
    </w:p>
    <w:p w14:paraId="14BBFE73">
      <w:pPr>
        <w:spacing w:before="156" w:beforeLines="50" w:after="156" w:afterLines="50" w:line="360" w:lineRule="auto"/>
        <w:jc w:val="center"/>
        <w:rPr>
          <w:rFonts w:hint="eastAsia" w:ascii="仿宋" w:hAnsi="仿宋" w:eastAsia="仿宋"/>
          <w:b/>
          <w:bCs/>
          <w:sz w:val="24"/>
          <w:szCs w:val="24"/>
        </w:rPr>
      </w:pPr>
      <w:r>
        <w:rPr>
          <w:rFonts w:hint="eastAsia" w:ascii="仿宋" w:hAnsi="仿宋" w:eastAsia="仿宋" w:cs="仿宋"/>
          <w:b/>
          <w:bCs/>
          <w:sz w:val="24"/>
          <w:szCs w:val="24"/>
        </w:rPr>
        <w:t>（202</w:t>
      </w:r>
      <w:r>
        <w:rPr>
          <w:rFonts w:ascii="仿宋" w:hAnsi="仿宋" w:eastAsia="仿宋" w:cs="仿宋"/>
          <w:b/>
          <w:bCs/>
          <w:sz w:val="24"/>
          <w:szCs w:val="24"/>
        </w:rPr>
        <w:t>4</w:t>
      </w:r>
      <w:r>
        <w:rPr>
          <w:rFonts w:hint="eastAsia" w:ascii="仿宋" w:hAnsi="仿宋" w:eastAsia="仿宋" w:cs="仿宋"/>
          <w:b/>
          <w:bCs/>
          <w:sz w:val="24"/>
          <w:szCs w:val="24"/>
        </w:rPr>
        <w:t>年10月）</w:t>
      </w:r>
    </w:p>
    <w:bookmarkEnd w:id="0"/>
    <w:p w14:paraId="71888E14">
      <w:pPr>
        <w:spacing w:before="312" w:beforeLines="100"/>
        <w:ind w:firstLine="562" w:firstLineChars="201"/>
        <w:rPr>
          <w:rFonts w:hint="eastAsia" w:ascii="仿宋" w:hAnsi="仿宋" w:eastAsia="仿宋" w:cs="Calibri"/>
          <w:sz w:val="28"/>
          <w:szCs w:val="28"/>
        </w:rPr>
      </w:pPr>
      <w:bookmarkStart w:id="1" w:name="_Toc168420499"/>
      <w:bookmarkStart w:id="2" w:name="_Toc66285012"/>
      <w:r>
        <w:rPr>
          <w:rFonts w:hint="eastAsia" w:ascii="仿宋" w:hAnsi="仿宋" w:eastAsia="仿宋" w:cs="Calibri"/>
          <w:sz w:val="28"/>
          <w:szCs w:val="28"/>
        </w:rPr>
        <w:t>个人信息是以电子或者其他方式记录的与已识别或者可识别的自然人有关的各种信息，包括自然人的姓名、出生日期、身份证件号码、生物识别信息、住址、电话号码、电子邮箱、健康信息、行踪信息等，不包括匿名化处理后的信息。</w:t>
      </w:r>
    </w:p>
    <w:p w14:paraId="537A4A96">
      <w:pPr>
        <w:ind w:firstLine="560" w:firstLineChars="200"/>
        <w:rPr>
          <w:rFonts w:hint="eastAsia" w:ascii="仿宋" w:hAnsi="仿宋" w:eastAsia="仿宋" w:cs="Calibri"/>
          <w:sz w:val="28"/>
          <w:szCs w:val="28"/>
        </w:rPr>
      </w:pPr>
      <w:r>
        <w:rPr>
          <w:rFonts w:hint="eastAsia" w:ascii="仿宋" w:hAnsi="仿宋" w:eastAsia="仿宋" w:cs="Calibri"/>
          <w:sz w:val="28"/>
          <w:szCs w:val="28"/>
        </w:rPr>
        <w:t>本期内容旨在通过案例进一步明确个人信息处理者的义务。</w:t>
      </w:r>
    </w:p>
    <w:p w14:paraId="531925A7">
      <w:pPr>
        <w:pStyle w:val="2"/>
        <w:keepNext w:val="0"/>
        <w:keepLines w:val="0"/>
        <w:spacing w:before="156" w:beforeLines="50" w:after="156" w:afterLines="50" w:line="360" w:lineRule="auto"/>
        <w:ind w:firstLine="562" w:firstLineChars="200"/>
        <w:rPr>
          <w:rFonts w:hint="eastAsia" w:ascii="仿宋" w:hAnsi="仿宋" w:eastAsia="仿宋"/>
          <w:sz w:val="28"/>
          <w:szCs w:val="32"/>
        </w:rPr>
      </w:pPr>
      <w:r>
        <w:rPr>
          <w:rFonts w:hint="eastAsia" w:ascii="仿宋" w:hAnsi="仿宋" w:eastAsia="仿宋"/>
          <w:sz w:val="28"/>
          <w:szCs w:val="32"/>
        </w:rPr>
        <w:t>【案例简介】</w:t>
      </w:r>
    </w:p>
    <w:p w14:paraId="185156CD">
      <w:pPr>
        <w:ind w:firstLine="560" w:firstLineChars="200"/>
        <w:rPr>
          <w:rFonts w:hint="eastAsia" w:ascii="仿宋" w:hAnsi="仿宋" w:eastAsia="仿宋"/>
          <w:sz w:val="28"/>
          <w:szCs w:val="28"/>
        </w:rPr>
      </w:pPr>
      <w:r>
        <w:rPr>
          <w:rFonts w:hint="eastAsia" w:ascii="仿宋" w:hAnsi="仿宋" w:eastAsia="仿宋"/>
          <w:sz w:val="28"/>
          <w:szCs w:val="28"/>
        </w:rPr>
        <w:t>薛祥飞在与浙江淘宝网络有限公司（下称“</w:t>
      </w:r>
      <w:r>
        <w:rPr>
          <w:rFonts w:hint="eastAsia" w:ascii="仿宋" w:hAnsi="仿宋" w:eastAsia="仿宋"/>
          <w:b/>
          <w:bCs/>
          <w:sz w:val="28"/>
          <w:szCs w:val="28"/>
        </w:rPr>
        <w:t>淘宝公司</w:t>
      </w:r>
      <w:r>
        <w:rPr>
          <w:rFonts w:hint="eastAsia" w:ascii="仿宋" w:hAnsi="仿宋" w:eastAsia="仿宋"/>
          <w:sz w:val="28"/>
          <w:szCs w:val="28"/>
        </w:rPr>
        <w:t>”）签订淘宝网络购物平台（下称“</w:t>
      </w:r>
      <w:r>
        <w:rPr>
          <w:rFonts w:hint="eastAsia" w:ascii="仿宋" w:hAnsi="仿宋" w:eastAsia="仿宋"/>
          <w:b/>
          <w:bCs/>
          <w:sz w:val="28"/>
          <w:szCs w:val="28"/>
        </w:rPr>
        <w:t>淘宝平台</w:t>
      </w:r>
      <w:r>
        <w:rPr>
          <w:rFonts w:hint="eastAsia" w:ascii="仿宋" w:hAnsi="仿宋" w:eastAsia="仿宋"/>
          <w:sz w:val="28"/>
          <w:szCs w:val="28"/>
        </w:rPr>
        <w:t>”）的注册协议并同意其隐私政策后，通过淘宝平台购买商品。为完成订单，淘宝公司收集、存储并与其他关联方共享薛祥飞该笔订单相关的个人信息，包括收件人姓名、收货地址、收货人联系电话、商品概括描述等。在商品签收前，薛祥飞接到境外来电，对方向其透露了与其在淘宝平台填写内容一致的订单信息，故薛祥飞认为淘宝公司泄漏了其个人信息，致使境外诈骗团伙多次致电实施电信诈骗，侵害了其个人信息权益和隐私权，遂诉至法院，请求判令淘宝公司赔礼道歉并赔偿损失。</w:t>
      </w:r>
    </w:p>
    <w:p w14:paraId="0FF781B3">
      <w:pPr>
        <w:ind w:firstLine="562" w:firstLineChars="200"/>
        <w:rPr>
          <w:rFonts w:hint="eastAsia" w:ascii="仿宋" w:hAnsi="仿宋" w:eastAsia="仿宋"/>
          <w:sz w:val="28"/>
          <w:szCs w:val="28"/>
        </w:rPr>
      </w:pPr>
      <w:r>
        <w:rPr>
          <w:rFonts w:hint="eastAsia" w:ascii="仿宋" w:hAnsi="仿宋" w:eastAsia="仿宋"/>
          <w:b/>
          <w:bCs/>
          <w:sz w:val="28"/>
          <w:szCs w:val="28"/>
        </w:rPr>
        <w:t>法院经审理认为，淘宝公司能够证明其在本案中的个人信息处理行为没有过错，且无证据证明薛祥飞个人信息的泄露与淘宝公司有关，故驳回薛祥飞的诉讼请求。主要理由包括：</w:t>
      </w:r>
      <w:r>
        <w:rPr>
          <w:rFonts w:hint="eastAsia" w:ascii="仿宋" w:hAnsi="仿宋" w:eastAsia="仿宋"/>
          <w:sz w:val="28"/>
          <w:szCs w:val="28"/>
        </w:rPr>
        <w:t>（1）淘宝公司能够证明其采取了个人信息保护必要合规措施，未违反关于个人信息处理者保护义务的规定，如：完成三级等保备案、制定内部个人信息保护规范、采取加密和限制使用等措施等；（2）淘宝公司能够证明个人信息处理行为具有合法性基础，未违反个人信息处理的规定，即：淘宝公司收集、保存、与第三方共享薛祥飞相关个人信息均取得其同意，且为履行合同之必需，未违反正当、必要处理原则；（3）淘宝公司能够证明其在处理具体信息上已尽到合理谨慎的安全保障注意义务，包括：设置内部风控管理体系防止信息泄露，采取信息去标识化、安全提示、下载管控、违规处罚等必要保护措施等。</w:t>
      </w:r>
    </w:p>
    <w:p w14:paraId="6013DD82">
      <w:pPr>
        <w:spacing w:before="156" w:beforeLines="50"/>
        <w:rPr>
          <w:rFonts w:hint="eastAsia" w:ascii="仿宋" w:hAnsi="仿宋" w:eastAsia="仿宋"/>
          <w:b/>
          <w:bCs/>
          <w:sz w:val="28"/>
          <w:szCs w:val="28"/>
        </w:rPr>
      </w:pPr>
      <w:r>
        <w:rPr>
          <w:rFonts w:hint="eastAsia" w:ascii="仿宋" w:hAnsi="仿宋" w:eastAsia="仿宋"/>
          <w:b/>
          <w:bCs/>
          <w:sz w:val="28"/>
          <w:szCs w:val="28"/>
        </w:rPr>
        <w:t xml:space="preserve">   【启示与建议】</w:t>
      </w:r>
    </w:p>
    <w:p w14:paraId="05DC30B0">
      <w:pPr>
        <w:ind w:firstLine="560" w:firstLineChars="200"/>
        <w:rPr>
          <w:rFonts w:hint="eastAsia" w:ascii="仿宋" w:hAnsi="仿宋" w:eastAsia="仿宋"/>
          <w:sz w:val="28"/>
          <w:szCs w:val="28"/>
        </w:rPr>
      </w:pPr>
      <w:r>
        <w:rPr>
          <w:rFonts w:hint="eastAsia" w:ascii="仿宋" w:hAnsi="仿宋" w:eastAsia="仿宋"/>
          <w:sz w:val="28"/>
          <w:szCs w:val="28"/>
        </w:rPr>
        <w:t>上述案例中，淘宝公司胜诉的原因是严格履行了法律法规规定的个人信息处理者的义务，在各环节尽到了个人信息安全保护责任。</w:t>
      </w:r>
    </w:p>
    <w:p w14:paraId="4418D68E">
      <w:pPr>
        <w:spacing w:before="156" w:beforeLines="50"/>
        <w:ind w:firstLine="565" w:firstLineChars="201"/>
        <w:rPr>
          <w:rFonts w:hint="eastAsia" w:ascii="仿宋" w:hAnsi="仿宋" w:eastAsia="仿宋"/>
          <w:b/>
          <w:bCs/>
          <w:sz w:val="28"/>
          <w:szCs w:val="28"/>
        </w:rPr>
      </w:pPr>
      <w:r>
        <w:rPr>
          <w:rFonts w:hint="eastAsia" w:ascii="仿宋" w:hAnsi="仿宋" w:eastAsia="仿宋"/>
          <w:b/>
          <w:bCs/>
          <w:sz w:val="28"/>
          <w:szCs w:val="28"/>
        </w:rPr>
        <w:t>根据现行法律法规的规定，</w:t>
      </w:r>
      <w:r>
        <w:rPr>
          <w:rFonts w:hint="eastAsia" w:ascii="仿宋" w:hAnsi="仿宋" w:eastAsia="仿宋" w:cs="Calibri"/>
          <w:b/>
          <w:bCs/>
          <w:sz w:val="28"/>
          <w:szCs w:val="28"/>
        </w:rPr>
        <w:t>个人信息处理者负有以下义务：</w:t>
      </w:r>
    </w:p>
    <w:bookmarkEnd w:id="1"/>
    <w:p w14:paraId="368FD361">
      <w:pPr>
        <w:pStyle w:val="23"/>
        <w:numPr>
          <w:ilvl w:val="0"/>
          <w:numId w:val="1"/>
        </w:numPr>
        <w:spacing w:before="156" w:beforeLines="50"/>
        <w:ind w:left="1281" w:firstLineChars="0"/>
        <w:rPr>
          <w:rFonts w:hint="eastAsia" w:ascii="仿宋" w:hAnsi="仿宋" w:eastAsia="仿宋" w:cs="Calibri"/>
          <w:b/>
          <w:bCs/>
          <w:sz w:val="28"/>
          <w:szCs w:val="28"/>
        </w:rPr>
      </w:pPr>
      <w:r>
        <w:rPr>
          <w:rFonts w:hint="eastAsia" w:ascii="仿宋" w:hAnsi="仿宋" w:eastAsia="仿宋" w:cs="Calibri"/>
          <w:b/>
          <w:bCs/>
          <w:sz w:val="28"/>
          <w:szCs w:val="28"/>
        </w:rPr>
        <w:t>一般个人信息处理者的义务</w:t>
      </w:r>
    </w:p>
    <w:p w14:paraId="6862EB6A">
      <w:pPr>
        <w:pStyle w:val="23"/>
        <w:numPr>
          <w:ilvl w:val="0"/>
          <w:numId w:val="2"/>
        </w:numPr>
        <w:ind w:left="0" w:firstLine="567" w:firstLineChars="0"/>
        <w:rPr>
          <w:rFonts w:hint="eastAsia" w:ascii="仿宋" w:hAnsi="仿宋" w:eastAsia="仿宋" w:cs="Calibri"/>
          <w:sz w:val="28"/>
          <w:szCs w:val="28"/>
        </w:rPr>
      </w:pPr>
      <w:r>
        <w:rPr>
          <w:rFonts w:hint="eastAsia" w:ascii="仿宋" w:hAnsi="仿宋" w:eastAsia="仿宋" w:cs="Calibri"/>
          <w:sz w:val="28"/>
          <w:szCs w:val="28"/>
          <w:u w:val="single"/>
        </w:rPr>
        <w:t>根据个人信息处理目的和方式、个人信息种类及对个人权益的影响、可能存在的安全风险等，采取措施确保个人信息处理活动符合法律法规规定，并防止未经授权的访问以及个人信息泄露、篡改、丢失</w:t>
      </w:r>
      <w:r>
        <w:rPr>
          <w:rFonts w:hint="eastAsia" w:ascii="仿宋" w:hAnsi="仿宋" w:eastAsia="仿宋" w:cs="Calibri"/>
          <w:sz w:val="28"/>
          <w:szCs w:val="28"/>
        </w:rPr>
        <w:t>，包括：制定内部管理制度和操作规程；对个人信息实行分类管理；采取加密、去标识化</w:t>
      </w:r>
      <w:r>
        <w:rPr>
          <w:rStyle w:val="17"/>
          <w:rFonts w:ascii="仿宋" w:hAnsi="仿宋" w:eastAsia="仿宋" w:cs="Calibri"/>
          <w:sz w:val="28"/>
          <w:szCs w:val="28"/>
        </w:rPr>
        <w:footnoteReference w:id="0"/>
      </w:r>
      <w:r>
        <w:rPr>
          <w:rFonts w:hint="eastAsia" w:ascii="仿宋" w:hAnsi="仿宋" w:eastAsia="仿宋" w:cs="Calibri"/>
          <w:sz w:val="28"/>
          <w:szCs w:val="28"/>
        </w:rPr>
        <w:t>等安全技术措施；合理确定个人信息处理的操作权限，并定期对从业人员进行安全教育和培训；制定并组织实施个人信息安全事件应急预案，以及法律法规规定的其他措施。</w:t>
      </w:r>
    </w:p>
    <w:p w14:paraId="46ACFCE4">
      <w:pPr>
        <w:pStyle w:val="23"/>
        <w:numPr>
          <w:ilvl w:val="0"/>
          <w:numId w:val="2"/>
        </w:numPr>
        <w:ind w:left="0" w:firstLine="567" w:firstLineChars="0"/>
        <w:rPr>
          <w:rFonts w:hint="eastAsia" w:ascii="仿宋" w:hAnsi="仿宋" w:eastAsia="仿宋" w:cs="Calibri"/>
          <w:sz w:val="28"/>
          <w:szCs w:val="28"/>
        </w:rPr>
      </w:pPr>
      <w:r>
        <w:rPr>
          <w:rFonts w:hint="eastAsia" w:ascii="仿宋" w:hAnsi="仿宋" w:eastAsia="仿宋" w:cs="Calibri"/>
          <w:sz w:val="28"/>
          <w:szCs w:val="28"/>
          <w:u w:val="single"/>
        </w:rPr>
        <w:t>定期对处理个人信息遵守法律法规的情况进行合规审计</w:t>
      </w:r>
      <w:r>
        <w:rPr>
          <w:rFonts w:hint="eastAsia" w:ascii="仿宋" w:hAnsi="仿宋" w:eastAsia="仿宋" w:cs="Calibri"/>
          <w:sz w:val="28"/>
          <w:szCs w:val="28"/>
        </w:rPr>
        <w:t>。</w:t>
      </w:r>
    </w:p>
    <w:p w14:paraId="7C82063B">
      <w:pPr>
        <w:pStyle w:val="23"/>
        <w:numPr>
          <w:ilvl w:val="0"/>
          <w:numId w:val="2"/>
        </w:numPr>
        <w:ind w:left="0" w:firstLine="567" w:firstLineChars="0"/>
        <w:rPr>
          <w:rFonts w:hint="eastAsia" w:ascii="仿宋" w:hAnsi="仿宋" w:eastAsia="仿宋" w:cs="Calibri"/>
          <w:sz w:val="28"/>
          <w:szCs w:val="28"/>
        </w:rPr>
      </w:pPr>
      <w:r>
        <w:rPr>
          <w:rFonts w:hint="eastAsia" w:ascii="仿宋" w:hAnsi="仿宋" w:eastAsia="仿宋" w:cs="Calibri"/>
          <w:sz w:val="28"/>
          <w:szCs w:val="28"/>
          <w:u w:val="single"/>
        </w:rPr>
        <w:t>符合法定情形的，应事前进行个人信息保护影响评估，并记录处理情况</w:t>
      </w:r>
      <w:r>
        <w:rPr>
          <w:rFonts w:hint="eastAsia" w:ascii="仿宋" w:hAnsi="仿宋" w:eastAsia="仿宋" w:cs="Calibri"/>
          <w:sz w:val="28"/>
          <w:szCs w:val="28"/>
        </w:rPr>
        <w:t>，法定情形包括：处理敏感个人信息</w:t>
      </w:r>
      <w:r>
        <w:rPr>
          <w:rStyle w:val="17"/>
          <w:rFonts w:ascii="仿宋" w:hAnsi="仿宋" w:eastAsia="仿宋" w:cs="Calibri"/>
          <w:sz w:val="28"/>
          <w:szCs w:val="28"/>
        </w:rPr>
        <w:footnoteReference w:id="1"/>
      </w:r>
      <w:r>
        <w:rPr>
          <w:rFonts w:hint="eastAsia" w:ascii="仿宋" w:hAnsi="仿宋" w:eastAsia="仿宋" w:cs="Calibri"/>
          <w:sz w:val="28"/>
          <w:szCs w:val="28"/>
        </w:rPr>
        <w:t>；利用个人信息进行自动化决策</w:t>
      </w:r>
      <w:r>
        <w:rPr>
          <w:rStyle w:val="17"/>
          <w:rFonts w:ascii="仿宋" w:hAnsi="仿宋" w:eastAsia="仿宋" w:cs="Calibri"/>
          <w:sz w:val="28"/>
          <w:szCs w:val="28"/>
        </w:rPr>
        <w:footnoteReference w:id="2"/>
      </w:r>
      <w:r>
        <w:rPr>
          <w:rFonts w:hint="eastAsia" w:ascii="仿宋" w:hAnsi="仿宋" w:eastAsia="仿宋" w:cs="Calibri"/>
          <w:sz w:val="28"/>
          <w:szCs w:val="28"/>
        </w:rPr>
        <w:t>；委托处理个人信息、向其他个人信息处理者提供个人信息、公开个人信息；向境外提供个人信息；其他对个人权益有重大影响的个人信息处理活动。</w:t>
      </w:r>
    </w:p>
    <w:p w14:paraId="24C18497">
      <w:pPr>
        <w:pStyle w:val="23"/>
        <w:numPr>
          <w:ilvl w:val="0"/>
          <w:numId w:val="2"/>
        </w:numPr>
        <w:ind w:left="0" w:firstLine="567" w:firstLineChars="0"/>
        <w:rPr>
          <w:rFonts w:hint="eastAsia" w:ascii="仿宋" w:hAnsi="仿宋" w:eastAsia="仿宋" w:cs="Calibri"/>
          <w:sz w:val="28"/>
          <w:szCs w:val="28"/>
        </w:rPr>
      </w:pPr>
      <w:r>
        <w:rPr>
          <w:rFonts w:hint="eastAsia" w:ascii="仿宋" w:hAnsi="仿宋" w:eastAsia="仿宋" w:cs="Calibri"/>
          <w:sz w:val="28"/>
          <w:szCs w:val="28"/>
          <w:u w:val="single"/>
        </w:rPr>
        <w:t>发生或可能发生个人信息泄露、篡改、丢失的，应立即采取补救措施，并通知履行个人信息保护职责的部门和个人。</w:t>
      </w:r>
      <w:r>
        <w:rPr>
          <w:rFonts w:hint="eastAsia" w:ascii="仿宋" w:hAnsi="仿宋" w:eastAsia="仿宋" w:cs="Calibri"/>
          <w:sz w:val="28"/>
          <w:szCs w:val="28"/>
        </w:rPr>
        <w:t>通知应包括：发生或者可能发生个人信息泄露、篡改、丢失的信息种类、原因和可能造成的危害；个人信息处理者采取的补救措施和个人可以采取的减轻危害的措施；个人信息处理者的联系方式。个人信息处理者采取措施能够有效避免信息泄露、篡改、丢失造成危害的，可以不通知个人，但若履行个人信息保护职责的部门认为可能造成危害的，其有权要求个人信息处理者通知个人。</w:t>
      </w:r>
    </w:p>
    <w:p w14:paraId="3C557938">
      <w:pPr>
        <w:pStyle w:val="23"/>
        <w:numPr>
          <w:ilvl w:val="0"/>
          <w:numId w:val="1"/>
        </w:numPr>
        <w:spacing w:before="156" w:beforeLines="50"/>
        <w:ind w:left="1281" w:firstLineChars="0"/>
        <w:rPr>
          <w:rFonts w:hint="eastAsia" w:ascii="仿宋" w:hAnsi="仿宋" w:eastAsia="仿宋" w:cs="Calibri"/>
          <w:b/>
          <w:bCs/>
          <w:sz w:val="28"/>
          <w:szCs w:val="28"/>
        </w:rPr>
      </w:pPr>
      <w:r>
        <w:rPr>
          <w:rFonts w:hint="eastAsia" w:ascii="仿宋" w:hAnsi="仿宋" w:eastAsia="仿宋" w:cs="Calibri"/>
          <w:b/>
          <w:bCs/>
          <w:sz w:val="28"/>
          <w:szCs w:val="28"/>
        </w:rPr>
        <w:t>特殊个人信息处理者的义务</w:t>
      </w:r>
    </w:p>
    <w:p w14:paraId="66DB0320">
      <w:pPr>
        <w:pStyle w:val="23"/>
        <w:numPr>
          <w:ilvl w:val="0"/>
          <w:numId w:val="3"/>
        </w:numPr>
        <w:ind w:left="0" w:firstLine="602" w:firstLineChars="0"/>
        <w:rPr>
          <w:rFonts w:hint="eastAsia" w:ascii="仿宋" w:hAnsi="仿宋" w:eastAsia="仿宋" w:cs="Calibri"/>
          <w:sz w:val="28"/>
          <w:szCs w:val="28"/>
        </w:rPr>
      </w:pPr>
      <w:r>
        <w:rPr>
          <w:rFonts w:hint="eastAsia" w:ascii="仿宋" w:hAnsi="仿宋" w:eastAsia="仿宋" w:cs="Calibri"/>
          <w:sz w:val="28"/>
          <w:szCs w:val="28"/>
          <w:u w:val="single"/>
        </w:rPr>
        <w:t>处理个人信息达到国家网信部门规定数量的个人信息处理者</w:t>
      </w:r>
      <w:r>
        <w:rPr>
          <w:rFonts w:hint="eastAsia" w:ascii="仿宋" w:hAnsi="仿宋" w:eastAsia="仿宋" w:cs="Calibri"/>
          <w:sz w:val="28"/>
          <w:szCs w:val="28"/>
        </w:rPr>
        <w:t>，应指定个人信息保护负责人，监督个人信息处理活动及采取的保护措施，并公开个人信息保护负责人的联系方式，将个人信息保护负责人的姓名、联系方式等报送履行个人信息保护职责的部门。</w:t>
      </w:r>
    </w:p>
    <w:p w14:paraId="11B53B45">
      <w:pPr>
        <w:pStyle w:val="23"/>
        <w:numPr>
          <w:ilvl w:val="0"/>
          <w:numId w:val="3"/>
        </w:numPr>
        <w:ind w:left="0" w:firstLine="602" w:firstLineChars="0"/>
        <w:rPr>
          <w:rFonts w:hint="eastAsia" w:ascii="仿宋" w:hAnsi="仿宋" w:eastAsia="仿宋" w:cs="Calibri"/>
          <w:sz w:val="28"/>
          <w:szCs w:val="28"/>
        </w:rPr>
      </w:pPr>
      <w:r>
        <w:rPr>
          <w:rFonts w:hint="eastAsia" w:ascii="仿宋" w:hAnsi="仿宋" w:eastAsia="仿宋" w:cs="Calibri"/>
          <w:sz w:val="28"/>
          <w:szCs w:val="28"/>
          <w:u w:val="single"/>
        </w:rPr>
        <w:t>中华人民共和国境外的个人信息处理者</w:t>
      </w:r>
      <w:r>
        <w:rPr>
          <w:rFonts w:hint="eastAsia" w:ascii="仿宋" w:hAnsi="仿宋" w:eastAsia="仿宋" w:cs="Calibri"/>
          <w:sz w:val="28"/>
          <w:szCs w:val="28"/>
        </w:rPr>
        <w:t>，应在中华人民共和国境内设立专门机构或指定代表，负责处理个人信息保护相关事务，并将有关机构的名称或者代表的姓名、联系方式等报送履行个人信息保护职责的部门。</w:t>
      </w:r>
    </w:p>
    <w:p w14:paraId="522D173C">
      <w:pPr>
        <w:pStyle w:val="23"/>
        <w:numPr>
          <w:ilvl w:val="0"/>
          <w:numId w:val="3"/>
        </w:numPr>
        <w:ind w:left="0" w:firstLine="602" w:firstLineChars="0"/>
        <w:rPr>
          <w:rFonts w:hint="eastAsia" w:ascii="仿宋" w:hAnsi="仿宋" w:eastAsia="仿宋" w:cs="Calibri"/>
          <w:sz w:val="28"/>
          <w:szCs w:val="28"/>
        </w:rPr>
      </w:pPr>
      <w:r>
        <w:rPr>
          <w:rFonts w:hint="eastAsia" w:ascii="仿宋" w:hAnsi="仿宋" w:eastAsia="仿宋" w:cs="Calibri"/>
          <w:sz w:val="28"/>
          <w:szCs w:val="28"/>
          <w:u w:val="single"/>
        </w:rPr>
        <w:t>提供重要互联网平台服务、用户数量巨大、业务类型复杂的个人信息处理者</w:t>
      </w:r>
      <w:r>
        <w:rPr>
          <w:rFonts w:hint="eastAsia" w:ascii="仿宋" w:hAnsi="仿宋" w:eastAsia="仿宋" w:cs="Calibri"/>
          <w:sz w:val="28"/>
          <w:szCs w:val="28"/>
        </w:rPr>
        <w:t>，应按国家规定建立健全个人信息保护合规制度体系，成立主要由外部成员组成的独立机构对个人信息保护情况进行监督；遵循公开、公平、公正的原则，制定平台规则，明确平台内产品或者服务提供者处理个人信息的规范和保护个人信息的义务；对严重违反法律法规处理个人信息的平台内的产品或者服务提供者，停止向其提供服务；定期发布个人信息保护社会责任报告，接受社会监督。</w:t>
      </w:r>
    </w:p>
    <w:p w14:paraId="0641DEDF">
      <w:pPr>
        <w:pStyle w:val="23"/>
        <w:numPr>
          <w:ilvl w:val="0"/>
          <w:numId w:val="3"/>
        </w:numPr>
        <w:ind w:left="0" w:firstLine="602" w:firstLineChars="0"/>
        <w:rPr>
          <w:rFonts w:hint="eastAsia" w:ascii="仿宋" w:hAnsi="仿宋" w:eastAsia="仿宋" w:cs="Calibri"/>
          <w:sz w:val="28"/>
          <w:szCs w:val="28"/>
        </w:rPr>
      </w:pPr>
      <w:r>
        <w:rPr>
          <w:rFonts w:hint="eastAsia" w:ascii="仿宋" w:hAnsi="仿宋" w:eastAsia="仿宋" w:cs="Calibri"/>
          <w:sz w:val="28"/>
          <w:szCs w:val="28"/>
          <w:u w:val="single"/>
        </w:rPr>
        <w:t>接受委托处理个人信息的受托人</w:t>
      </w:r>
      <w:r>
        <w:rPr>
          <w:rFonts w:hint="eastAsia" w:ascii="仿宋" w:hAnsi="仿宋" w:eastAsia="仿宋" w:cs="Calibri"/>
          <w:sz w:val="28"/>
          <w:szCs w:val="28"/>
        </w:rPr>
        <w:t>，应依法采取必要措施保障所处理的个人信息的安全，并协助个人信息处理者履行法定义务。</w:t>
      </w:r>
    </w:p>
    <w:p w14:paraId="57679071">
      <w:pPr>
        <w:pStyle w:val="23"/>
        <w:spacing w:before="120"/>
        <w:ind w:firstLine="568" w:firstLineChars="202"/>
        <w:rPr>
          <w:rFonts w:hint="eastAsia" w:ascii="仿宋" w:hAnsi="仿宋" w:eastAsia="仿宋" w:cs="Calibri"/>
          <w:b/>
          <w:bCs/>
          <w:sz w:val="28"/>
          <w:szCs w:val="28"/>
        </w:rPr>
      </w:pPr>
      <w:r>
        <w:rPr>
          <w:rFonts w:hint="eastAsia" w:ascii="仿宋" w:hAnsi="仿宋" w:eastAsia="仿宋" w:cs="Calibri"/>
          <w:b/>
          <w:bCs/>
          <w:sz w:val="28"/>
          <w:szCs w:val="28"/>
        </w:rPr>
        <w:t>上述义务是个人信息处理者的法定义务，是其在处理个人信息时应向权利主体承担的保护责任。个人</w:t>
      </w:r>
      <w:bookmarkStart w:id="3" w:name="_GoBack"/>
      <w:bookmarkEnd w:id="3"/>
      <w:r>
        <w:rPr>
          <w:rFonts w:hint="eastAsia" w:ascii="仿宋" w:hAnsi="仿宋" w:eastAsia="仿宋" w:cs="Calibri"/>
          <w:b/>
          <w:bCs/>
          <w:sz w:val="28"/>
          <w:szCs w:val="28"/>
        </w:rPr>
        <w:t>信息处理者只有树立安全意识、建立合规体系、尽到安全义务，才能充分保障权利主体的个人信息权益，促进各行业及数字经济的平稳发展。</w:t>
      </w:r>
    </w:p>
    <w:bookmarkEnd w:id="2"/>
    <w:p w14:paraId="30DB4470">
      <w:pPr>
        <w:tabs>
          <w:tab w:val="left" w:pos="5985"/>
        </w:tabs>
        <w:wordWrap w:val="0"/>
        <w:spacing w:before="156" w:beforeLines="50" w:line="360" w:lineRule="auto"/>
        <w:ind w:right="17"/>
        <w:jc w:val="right"/>
        <w:rPr>
          <w:rFonts w:hint="eastAsia" w:ascii="仿宋" w:hAnsi="仿宋" w:eastAsia="仿宋"/>
          <w:kern w:val="0"/>
          <w:sz w:val="28"/>
          <w:szCs w:val="28"/>
        </w:rPr>
      </w:pPr>
      <w:r>
        <w:rPr>
          <w:rFonts w:hint="eastAsia" w:ascii="仿宋" w:hAnsi="仿宋" w:eastAsia="仿宋"/>
          <w:kern w:val="0"/>
          <w:sz w:val="28"/>
          <w:szCs w:val="28"/>
        </w:rPr>
        <w:t>北京道商律师事务所</w:t>
      </w:r>
    </w:p>
    <w:p w14:paraId="7DEE8ACB">
      <w:pPr>
        <w:tabs>
          <w:tab w:val="left" w:pos="5985"/>
        </w:tabs>
        <w:wordWrap w:val="0"/>
        <w:spacing w:line="360" w:lineRule="auto"/>
        <w:jc w:val="right"/>
        <w:rPr>
          <w:rFonts w:hint="eastAsia" w:ascii="仿宋" w:hAnsi="仿宋" w:eastAsia="仿宋"/>
          <w:spacing w:val="2"/>
          <w:kern w:val="0"/>
          <w:sz w:val="28"/>
          <w:szCs w:val="28"/>
        </w:rPr>
      </w:pPr>
      <w:r>
        <w:rPr>
          <w:rFonts w:ascii="仿宋" w:hAnsi="仿宋" w:eastAsia="仿宋" w:cs="仿宋"/>
          <w:sz w:val="28"/>
          <w:szCs w:val="28"/>
        </w:rPr>
        <w:t>20</w:t>
      </w:r>
      <w:r>
        <w:rPr>
          <w:rFonts w:hint="eastAsia" w:ascii="仿宋" w:hAnsi="仿宋" w:eastAsia="仿宋" w:cs="仿宋"/>
          <w:sz w:val="28"/>
          <w:szCs w:val="28"/>
        </w:rPr>
        <w:t>2</w:t>
      </w:r>
      <w:r>
        <w:rPr>
          <w:rFonts w:ascii="仿宋" w:hAnsi="仿宋" w:eastAsia="仿宋" w:cs="仿宋"/>
          <w:sz w:val="28"/>
          <w:szCs w:val="28"/>
        </w:rPr>
        <w:t>4</w:t>
      </w:r>
      <w:r>
        <w:rPr>
          <w:rFonts w:hint="eastAsia" w:ascii="仿宋" w:hAnsi="仿宋" w:eastAsia="仿宋" w:cs="仿宋"/>
          <w:sz w:val="28"/>
          <w:szCs w:val="28"/>
        </w:rPr>
        <w:t xml:space="preserve">年10月 </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33156"/>
      <w:docPartObj>
        <w:docPartGallery w:val="autotext"/>
      </w:docPartObj>
    </w:sdtPr>
    <w:sdtContent>
      <w:sdt>
        <w:sdtPr>
          <w:id w:val="-1705238520"/>
          <w:docPartObj>
            <w:docPartGallery w:val="autotext"/>
          </w:docPartObj>
        </w:sdtPr>
        <w:sdtContent>
          <w:p w14:paraId="489486BF">
            <w:pPr>
              <w:pStyle w:val="6"/>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3A7E4A62">
      <w:pPr>
        <w:pStyle w:val="9"/>
      </w:pPr>
      <w:r>
        <w:rPr>
          <w:rStyle w:val="17"/>
        </w:rPr>
        <w:footnoteRef/>
      </w:r>
      <w:r>
        <w:t xml:space="preserve"> </w:t>
      </w:r>
      <w:r>
        <w:rPr>
          <w:rFonts w:hint="eastAsia"/>
          <w:b/>
          <w:bCs/>
        </w:rPr>
        <w:t>去标识化</w:t>
      </w:r>
      <w:r>
        <w:rPr>
          <w:rFonts w:hint="eastAsia"/>
        </w:rPr>
        <w:t>，是指个人信息经过处理，使其在不借助额外信息的情况下无法识别特定自然人的过程。</w:t>
      </w:r>
    </w:p>
  </w:footnote>
  <w:footnote w:id="1">
    <w:p w14:paraId="0B2A3595">
      <w:pPr>
        <w:pStyle w:val="9"/>
      </w:pPr>
      <w:r>
        <w:rPr>
          <w:rStyle w:val="17"/>
        </w:rPr>
        <w:footnoteRef/>
      </w:r>
      <w:r>
        <w:t xml:space="preserve"> </w:t>
      </w:r>
      <w:r>
        <w:rPr>
          <w:rFonts w:hint="eastAsia"/>
          <w:b/>
          <w:bCs/>
        </w:rPr>
        <w:t>个人敏感信息</w:t>
      </w:r>
      <w:r>
        <w:rPr>
          <w:rFonts w:hint="eastAsia"/>
        </w:rPr>
        <w:t>，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footnote>
  <w:footnote w:id="2">
    <w:p w14:paraId="3AB0AC12">
      <w:pPr>
        <w:pStyle w:val="9"/>
      </w:pPr>
      <w:r>
        <w:rPr>
          <w:rStyle w:val="17"/>
        </w:rPr>
        <w:footnoteRef/>
      </w:r>
      <w:r>
        <w:t xml:space="preserve"> </w:t>
      </w:r>
      <w:r>
        <w:rPr>
          <w:rFonts w:hint="eastAsia"/>
          <w:b/>
          <w:bCs/>
        </w:rPr>
        <w:t>自动化决策</w:t>
      </w:r>
      <w:r>
        <w:rPr>
          <w:rFonts w:hint="eastAsia"/>
        </w:rPr>
        <w:t>，是指通过计算机程序自动分析、评估个人的行为习惯、兴趣爱好或者经济、健康、信用状况等，并进行决策的活动。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4A13">
    <w:pPr>
      <w:pStyle w:val="7"/>
      <w:tabs>
        <w:tab w:val="clear" w:pos="4153"/>
      </w:tabs>
      <w:jc w:val="right"/>
      <w:rPr>
        <w:rFonts w:hint="eastAsia" w:ascii="仿宋" w:hAnsi="仿宋" w:eastAsia="仿宋"/>
        <w:sz w:val="24"/>
      </w:rPr>
    </w:pPr>
    <w:r>
      <w:drawing>
        <wp:anchor distT="0" distB="0" distL="114300" distR="114300" simplePos="0" relativeHeight="251659264" behindDoc="0" locked="0" layoutInCell="1" allowOverlap="1">
          <wp:simplePos x="0" y="0"/>
          <wp:positionH relativeFrom="margin">
            <wp:posOffset>-175260</wp:posOffset>
          </wp:positionH>
          <wp:positionV relativeFrom="paragraph">
            <wp:posOffset>-250825</wp:posOffset>
          </wp:positionV>
          <wp:extent cx="2565400" cy="609600"/>
          <wp:effectExtent l="0" t="0" r="6350" b="0"/>
          <wp:wrapNone/>
          <wp:docPr id="3" name="图片 3" descr="C:\Users\shengdian\Desktop\配图选图\各种logo图\绿-合同页眉、信纸信封标-透明底.png绿-合同页眉、信纸信封标-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engdian\Desktop\配图选图\各种logo图\绿-合同页眉、信纸信封标-透明底.png绿-合同页眉、信纸信封标-透明底"/>
                  <pic:cNvPicPr>
                    <a:picLocks noChangeAspect="1"/>
                  </pic:cNvPicPr>
                </pic:nvPicPr>
                <pic:blipFill>
                  <a:blip r:embed="rId1"/>
                  <a:srcRect t="17427" b="16183"/>
                  <a:stretch>
                    <a:fillRect/>
                  </a:stretch>
                </pic:blipFill>
                <pic:spPr>
                  <a:xfrm>
                    <a:off x="0" y="0"/>
                    <a:ext cx="2565400" cy="609600"/>
                  </a:xfrm>
                  <a:prstGeom prst="rect">
                    <a:avLst/>
                  </a:prstGeom>
                  <a:effectLst>
                    <a:reflection endPos="0" dist="50800" dir="5400000" sy="-100000" algn="bl" rotWithShape="0"/>
                    <a:softEdge rad="0"/>
                  </a:effectLst>
                </pic:spPr>
              </pic:pic>
            </a:graphicData>
          </a:graphic>
        </wp:anchor>
      </w:drawing>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szCs w:val="24"/>
      </w:rPr>
      <w:t>数据合规专题·第二期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B2F75"/>
    <w:multiLevelType w:val="multilevel"/>
    <w:tmpl w:val="5CCB2F75"/>
    <w:lvl w:ilvl="0" w:tentative="0">
      <w:start w:val="1"/>
      <w:numFmt w:val="decimal"/>
      <w:suff w:val="nothing"/>
      <w:lvlText w:val="（%1）"/>
      <w:lvlJc w:val="left"/>
      <w:pPr>
        <w:ind w:left="1680" w:hanging="1118"/>
      </w:pPr>
      <w:rPr>
        <w:rFonts w:hint="default"/>
        <w:lang w:val="en-US"/>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1">
    <w:nsid w:val="5F784A80"/>
    <w:multiLevelType w:val="multilevel"/>
    <w:tmpl w:val="5F784A80"/>
    <w:lvl w:ilvl="0" w:tentative="0">
      <w:start w:val="1"/>
      <w:numFmt w:val="decimal"/>
      <w:suff w:val="nothing"/>
      <w:lvlText w:val="%1、"/>
      <w:lvlJc w:val="left"/>
      <w:pPr>
        <w:ind w:left="1282" w:hanging="720"/>
      </w:pPr>
      <w:rPr>
        <w:rFonts w:hint="default"/>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2">
    <w:nsid w:val="68FC695E"/>
    <w:multiLevelType w:val="multilevel"/>
    <w:tmpl w:val="68FC695E"/>
    <w:lvl w:ilvl="0" w:tentative="0">
      <w:start w:val="1"/>
      <w:numFmt w:val="decimal"/>
      <w:suff w:val="nothing"/>
      <w:lvlText w:val="（%1）"/>
      <w:lvlJc w:val="left"/>
      <w:pPr>
        <w:ind w:left="8659" w:hanging="720"/>
      </w:pPr>
      <w:rPr>
        <w:rFonts w:hint="default"/>
      </w:rPr>
    </w:lvl>
    <w:lvl w:ilvl="1" w:tentative="0">
      <w:start w:val="1"/>
      <w:numFmt w:val="lowerLetter"/>
      <w:lvlText w:val="%2)"/>
      <w:lvlJc w:val="left"/>
      <w:pPr>
        <w:ind w:left="8780" w:hanging="420"/>
      </w:pPr>
    </w:lvl>
    <w:lvl w:ilvl="2" w:tentative="0">
      <w:start w:val="1"/>
      <w:numFmt w:val="lowerRoman"/>
      <w:lvlText w:val="%3."/>
      <w:lvlJc w:val="right"/>
      <w:pPr>
        <w:ind w:left="9200" w:hanging="420"/>
      </w:pPr>
    </w:lvl>
    <w:lvl w:ilvl="3" w:tentative="0">
      <w:start w:val="1"/>
      <w:numFmt w:val="decimal"/>
      <w:lvlText w:val="%4."/>
      <w:lvlJc w:val="left"/>
      <w:pPr>
        <w:ind w:left="9620" w:hanging="420"/>
      </w:pPr>
    </w:lvl>
    <w:lvl w:ilvl="4" w:tentative="0">
      <w:start w:val="1"/>
      <w:numFmt w:val="lowerLetter"/>
      <w:lvlText w:val="%5)"/>
      <w:lvlJc w:val="left"/>
      <w:pPr>
        <w:ind w:left="10040" w:hanging="420"/>
      </w:pPr>
    </w:lvl>
    <w:lvl w:ilvl="5" w:tentative="0">
      <w:start w:val="1"/>
      <w:numFmt w:val="lowerRoman"/>
      <w:lvlText w:val="%6."/>
      <w:lvlJc w:val="right"/>
      <w:pPr>
        <w:ind w:left="10460" w:hanging="420"/>
      </w:pPr>
    </w:lvl>
    <w:lvl w:ilvl="6" w:tentative="0">
      <w:start w:val="1"/>
      <w:numFmt w:val="decimal"/>
      <w:lvlText w:val="%7."/>
      <w:lvlJc w:val="left"/>
      <w:pPr>
        <w:ind w:left="10880" w:hanging="420"/>
      </w:pPr>
    </w:lvl>
    <w:lvl w:ilvl="7" w:tentative="0">
      <w:start w:val="1"/>
      <w:numFmt w:val="lowerLetter"/>
      <w:lvlText w:val="%8)"/>
      <w:lvlJc w:val="left"/>
      <w:pPr>
        <w:ind w:left="11300" w:hanging="420"/>
      </w:pPr>
    </w:lvl>
    <w:lvl w:ilvl="8" w:tentative="0">
      <w:start w:val="1"/>
      <w:numFmt w:val="lowerRoman"/>
      <w:lvlText w:val="%9."/>
      <w:lvlJc w:val="right"/>
      <w:pPr>
        <w:ind w:left="117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20303"/>
    <w:rsid w:val="00000E4E"/>
    <w:rsid w:val="000026F3"/>
    <w:rsid w:val="000074E0"/>
    <w:rsid w:val="000201E8"/>
    <w:rsid w:val="0003214A"/>
    <w:rsid w:val="00032DD4"/>
    <w:rsid w:val="00035194"/>
    <w:rsid w:val="000408F4"/>
    <w:rsid w:val="0004294E"/>
    <w:rsid w:val="00043155"/>
    <w:rsid w:val="0004389A"/>
    <w:rsid w:val="00043E8D"/>
    <w:rsid w:val="000541A2"/>
    <w:rsid w:val="00063236"/>
    <w:rsid w:val="00066050"/>
    <w:rsid w:val="0007077F"/>
    <w:rsid w:val="000713ED"/>
    <w:rsid w:val="00073752"/>
    <w:rsid w:val="000738AA"/>
    <w:rsid w:val="000808DE"/>
    <w:rsid w:val="00083A43"/>
    <w:rsid w:val="00090162"/>
    <w:rsid w:val="00091E1A"/>
    <w:rsid w:val="00092595"/>
    <w:rsid w:val="00094624"/>
    <w:rsid w:val="0009587F"/>
    <w:rsid w:val="00097351"/>
    <w:rsid w:val="000A1857"/>
    <w:rsid w:val="000A1A46"/>
    <w:rsid w:val="000A2B5A"/>
    <w:rsid w:val="000A442A"/>
    <w:rsid w:val="000B0252"/>
    <w:rsid w:val="000B1069"/>
    <w:rsid w:val="000B1581"/>
    <w:rsid w:val="000B2DF0"/>
    <w:rsid w:val="000C600F"/>
    <w:rsid w:val="000C6479"/>
    <w:rsid w:val="000D42A3"/>
    <w:rsid w:val="000E7EB3"/>
    <w:rsid w:val="000F146B"/>
    <w:rsid w:val="000F2776"/>
    <w:rsid w:val="000F2BB6"/>
    <w:rsid w:val="000F5C93"/>
    <w:rsid w:val="000F5E6E"/>
    <w:rsid w:val="00102BE2"/>
    <w:rsid w:val="00104BEC"/>
    <w:rsid w:val="00107AF7"/>
    <w:rsid w:val="00107E1F"/>
    <w:rsid w:val="001138C8"/>
    <w:rsid w:val="001149E4"/>
    <w:rsid w:val="001158DC"/>
    <w:rsid w:val="00125444"/>
    <w:rsid w:val="00127A63"/>
    <w:rsid w:val="001327FF"/>
    <w:rsid w:val="001367EC"/>
    <w:rsid w:val="001377FA"/>
    <w:rsid w:val="00141487"/>
    <w:rsid w:val="00147F46"/>
    <w:rsid w:val="001507BF"/>
    <w:rsid w:val="0015123A"/>
    <w:rsid w:val="00151555"/>
    <w:rsid w:val="00152C7B"/>
    <w:rsid w:val="001535D3"/>
    <w:rsid w:val="00156D01"/>
    <w:rsid w:val="00161C75"/>
    <w:rsid w:val="0016448B"/>
    <w:rsid w:val="0016550C"/>
    <w:rsid w:val="001762A6"/>
    <w:rsid w:val="00182268"/>
    <w:rsid w:val="00183532"/>
    <w:rsid w:val="00185C7D"/>
    <w:rsid w:val="001868F9"/>
    <w:rsid w:val="00190939"/>
    <w:rsid w:val="001937B7"/>
    <w:rsid w:val="00193D1B"/>
    <w:rsid w:val="001A5E23"/>
    <w:rsid w:val="001B0A74"/>
    <w:rsid w:val="001B22A0"/>
    <w:rsid w:val="001B32AB"/>
    <w:rsid w:val="001B52F7"/>
    <w:rsid w:val="001C2546"/>
    <w:rsid w:val="001D2D3C"/>
    <w:rsid w:val="001D466E"/>
    <w:rsid w:val="001E1106"/>
    <w:rsid w:val="001E1DA5"/>
    <w:rsid w:val="001E1FBD"/>
    <w:rsid w:val="001F3D84"/>
    <w:rsid w:val="001F3F71"/>
    <w:rsid w:val="001F6886"/>
    <w:rsid w:val="001F6E36"/>
    <w:rsid w:val="002105D8"/>
    <w:rsid w:val="00211C58"/>
    <w:rsid w:val="00213362"/>
    <w:rsid w:val="00222FC3"/>
    <w:rsid w:val="002247EE"/>
    <w:rsid w:val="00226C5C"/>
    <w:rsid w:val="00230AA3"/>
    <w:rsid w:val="00233EDD"/>
    <w:rsid w:val="00236CB2"/>
    <w:rsid w:val="002370C9"/>
    <w:rsid w:val="00237303"/>
    <w:rsid w:val="0024683E"/>
    <w:rsid w:val="00253078"/>
    <w:rsid w:val="00253E33"/>
    <w:rsid w:val="00253EC9"/>
    <w:rsid w:val="002578F4"/>
    <w:rsid w:val="00257F2E"/>
    <w:rsid w:val="00261168"/>
    <w:rsid w:val="00261321"/>
    <w:rsid w:val="00270D82"/>
    <w:rsid w:val="00271AEA"/>
    <w:rsid w:val="002722F2"/>
    <w:rsid w:val="0027278E"/>
    <w:rsid w:val="00281708"/>
    <w:rsid w:val="002818B8"/>
    <w:rsid w:val="0029195E"/>
    <w:rsid w:val="00291FE2"/>
    <w:rsid w:val="00292A20"/>
    <w:rsid w:val="002A06D0"/>
    <w:rsid w:val="002A1959"/>
    <w:rsid w:val="002A7404"/>
    <w:rsid w:val="002B1B14"/>
    <w:rsid w:val="002B30DD"/>
    <w:rsid w:val="002C18DD"/>
    <w:rsid w:val="002C21CC"/>
    <w:rsid w:val="002C4ADB"/>
    <w:rsid w:val="002C7482"/>
    <w:rsid w:val="002D41CA"/>
    <w:rsid w:val="002D54F9"/>
    <w:rsid w:val="002D55C4"/>
    <w:rsid w:val="002D56DB"/>
    <w:rsid w:val="002D728D"/>
    <w:rsid w:val="002F23A2"/>
    <w:rsid w:val="00310382"/>
    <w:rsid w:val="00310447"/>
    <w:rsid w:val="003209C6"/>
    <w:rsid w:val="00322E38"/>
    <w:rsid w:val="00322F59"/>
    <w:rsid w:val="00326FE0"/>
    <w:rsid w:val="00327D9C"/>
    <w:rsid w:val="00330096"/>
    <w:rsid w:val="00331E2F"/>
    <w:rsid w:val="00335E0F"/>
    <w:rsid w:val="00336601"/>
    <w:rsid w:val="00341091"/>
    <w:rsid w:val="00344D3E"/>
    <w:rsid w:val="00347BC8"/>
    <w:rsid w:val="00351BBE"/>
    <w:rsid w:val="003533E1"/>
    <w:rsid w:val="00353504"/>
    <w:rsid w:val="0035439F"/>
    <w:rsid w:val="0035596E"/>
    <w:rsid w:val="00361471"/>
    <w:rsid w:val="0036210C"/>
    <w:rsid w:val="00362674"/>
    <w:rsid w:val="003746E1"/>
    <w:rsid w:val="00376458"/>
    <w:rsid w:val="00376F58"/>
    <w:rsid w:val="00376FB3"/>
    <w:rsid w:val="0038067E"/>
    <w:rsid w:val="00383E77"/>
    <w:rsid w:val="003935DB"/>
    <w:rsid w:val="00395277"/>
    <w:rsid w:val="003A0114"/>
    <w:rsid w:val="003B0F9F"/>
    <w:rsid w:val="003B166F"/>
    <w:rsid w:val="003B188E"/>
    <w:rsid w:val="003B5439"/>
    <w:rsid w:val="003B5A85"/>
    <w:rsid w:val="003C41B1"/>
    <w:rsid w:val="003D44F6"/>
    <w:rsid w:val="003E0B23"/>
    <w:rsid w:val="003E1D64"/>
    <w:rsid w:val="003E2BBF"/>
    <w:rsid w:val="003E4DA9"/>
    <w:rsid w:val="003F02CC"/>
    <w:rsid w:val="003F2A03"/>
    <w:rsid w:val="004046C1"/>
    <w:rsid w:val="0040503D"/>
    <w:rsid w:val="00406576"/>
    <w:rsid w:val="00411180"/>
    <w:rsid w:val="0041243B"/>
    <w:rsid w:val="00412ABB"/>
    <w:rsid w:val="00420303"/>
    <w:rsid w:val="004217D5"/>
    <w:rsid w:val="004255AC"/>
    <w:rsid w:val="0043032C"/>
    <w:rsid w:val="00437EE1"/>
    <w:rsid w:val="00440093"/>
    <w:rsid w:val="0044081D"/>
    <w:rsid w:val="0044330A"/>
    <w:rsid w:val="0044428F"/>
    <w:rsid w:val="00445299"/>
    <w:rsid w:val="004466BA"/>
    <w:rsid w:val="00446F70"/>
    <w:rsid w:val="0044715D"/>
    <w:rsid w:val="00450B7E"/>
    <w:rsid w:val="00455318"/>
    <w:rsid w:val="00455753"/>
    <w:rsid w:val="00460FC8"/>
    <w:rsid w:val="00463B53"/>
    <w:rsid w:val="004649C5"/>
    <w:rsid w:val="0047270E"/>
    <w:rsid w:val="004744F4"/>
    <w:rsid w:val="004763A2"/>
    <w:rsid w:val="004807C7"/>
    <w:rsid w:val="004861B0"/>
    <w:rsid w:val="004902F0"/>
    <w:rsid w:val="004964C6"/>
    <w:rsid w:val="004A248E"/>
    <w:rsid w:val="004A3228"/>
    <w:rsid w:val="004B0C95"/>
    <w:rsid w:val="004B5E56"/>
    <w:rsid w:val="004C5E1B"/>
    <w:rsid w:val="004C6401"/>
    <w:rsid w:val="004C688F"/>
    <w:rsid w:val="004D3487"/>
    <w:rsid w:val="004D4CE3"/>
    <w:rsid w:val="004D57EF"/>
    <w:rsid w:val="004E5670"/>
    <w:rsid w:val="004E6DDA"/>
    <w:rsid w:val="004F57F9"/>
    <w:rsid w:val="005030DC"/>
    <w:rsid w:val="005032B8"/>
    <w:rsid w:val="00504032"/>
    <w:rsid w:val="00506031"/>
    <w:rsid w:val="0050638B"/>
    <w:rsid w:val="00506639"/>
    <w:rsid w:val="005072AB"/>
    <w:rsid w:val="00510FD5"/>
    <w:rsid w:val="00511738"/>
    <w:rsid w:val="00514979"/>
    <w:rsid w:val="00517CC5"/>
    <w:rsid w:val="0052438A"/>
    <w:rsid w:val="00526367"/>
    <w:rsid w:val="005370B4"/>
    <w:rsid w:val="00537295"/>
    <w:rsid w:val="0054316E"/>
    <w:rsid w:val="005442F0"/>
    <w:rsid w:val="0054560C"/>
    <w:rsid w:val="00547729"/>
    <w:rsid w:val="0055687E"/>
    <w:rsid w:val="00565AAF"/>
    <w:rsid w:val="00571DC9"/>
    <w:rsid w:val="00574A67"/>
    <w:rsid w:val="00584F47"/>
    <w:rsid w:val="00585DFE"/>
    <w:rsid w:val="00585F45"/>
    <w:rsid w:val="005874AE"/>
    <w:rsid w:val="00590CFB"/>
    <w:rsid w:val="00591603"/>
    <w:rsid w:val="00597F2E"/>
    <w:rsid w:val="005A021E"/>
    <w:rsid w:val="005A14E3"/>
    <w:rsid w:val="005A48AA"/>
    <w:rsid w:val="005A7078"/>
    <w:rsid w:val="005B0878"/>
    <w:rsid w:val="005B1FCA"/>
    <w:rsid w:val="005B2B08"/>
    <w:rsid w:val="005B3578"/>
    <w:rsid w:val="005B583F"/>
    <w:rsid w:val="005C2A3A"/>
    <w:rsid w:val="005C5153"/>
    <w:rsid w:val="005D2BCD"/>
    <w:rsid w:val="005D36B7"/>
    <w:rsid w:val="005D40A6"/>
    <w:rsid w:val="005E0C08"/>
    <w:rsid w:val="005E2A17"/>
    <w:rsid w:val="005E6521"/>
    <w:rsid w:val="005E6B3D"/>
    <w:rsid w:val="005E7722"/>
    <w:rsid w:val="005F0AD2"/>
    <w:rsid w:val="005F29FE"/>
    <w:rsid w:val="005F3BB4"/>
    <w:rsid w:val="005F405F"/>
    <w:rsid w:val="006063A8"/>
    <w:rsid w:val="00607256"/>
    <w:rsid w:val="006103BB"/>
    <w:rsid w:val="00620B44"/>
    <w:rsid w:val="006252AE"/>
    <w:rsid w:val="00626AEB"/>
    <w:rsid w:val="00643D01"/>
    <w:rsid w:val="00644296"/>
    <w:rsid w:val="00646925"/>
    <w:rsid w:val="00646A0E"/>
    <w:rsid w:val="00650776"/>
    <w:rsid w:val="0066055E"/>
    <w:rsid w:val="00660BF8"/>
    <w:rsid w:val="00661590"/>
    <w:rsid w:val="006628BE"/>
    <w:rsid w:val="00662F00"/>
    <w:rsid w:val="0066462E"/>
    <w:rsid w:val="00665AF3"/>
    <w:rsid w:val="006721CA"/>
    <w:rsid w:val="00677713"/>
    <w:rsid w:val="006A15CA"/>
    <w:rsid w:val="006A4370"/>
    <w:rsid w:val="006A65BE"/>
    <w:rsid w:val="006B50B4"/>
    <w:rsid w:val="006B6575"/>
    <w:rsid w:val="006D66E6"/>
    <w:rsid w:val="006E2FA0"/>
    <w:rsid w:val="006E3CEB"/>
    <w:rsid w:val="006E6637"/>
    <w:rsid w:val="006E73AE"/>
    <w:rsid w:val="006F39C9"/>
    <w:rsid w:val="006F4355"/>
    <w:rsid w:val="007127DC"/>
    <w:rsid w:val="0071604F"/>
    <w:rsid w:val="00722DFB"/>
    <w:rsid w:val="00722E03"/>
    <w:rsid w:val="007322F2"/>
    <w:rsid w:val="00733C70"/>
    <w:rsid w:val="00742B95"/>
    <w:rsid w:val="0074305C"/>
    <w:rsid w:val="007449B2"/>
    <w:rsid w:val="0075466D"/>
    <w:rsid w:val="0077060E"/>
    <w:rsid w:val="00771F4C"/>
    <w:rsid w:val="0077271F"/>
    <w:rsid w:val="007728F6"/>
    <w:rsid w:val="00773A7E"/>
    <w:rsid w:val="00774DA8"/>
    <w:rsid w:val="00775F05"/>
    <w:rsid w:val="00776515"/>
    <w:rsid w:val="00783C4E"/>
    <w:rsid w:val="0078441A"/>
    <w:rsid w:val="00793C62"/>
    <w:rsid w:val="007943B4"/>
    <w:rsid w:val="00794820"/>
    <w:rsid w:val="0079681D"/>
    <w:rsid w:val="007A54D9"/>
    <w:rsid w:val="007A5F2A"/>
    <w:rsid w:val="007C05CB"/>
    <w:rsid w:val="007C2984"/>
    <w:rsid w:val="007C439D"/>
    <w:rsid w:val="007C704A"/>
    <w:rsid w:val="007D04FB"/>
    <w:rsid w:val="007E190E"/>
    <w:rsid w:val="007E1DE8"/>
    <w:rsid w:val="007E4DBA"/>
    <w:rsid w:val="007E7783"/>
    <w:rsid w:val="007F3339"/>
    <w:rsid w:val="007F4EAC"/>
    <w:rsid w:val="008009BB"/>
    <w:rsid w:val="00804ADE"/>
    <w:rsid w:val="00806D68"/>
    <w:rsid w:val="008101F4"/>
    <w:rsid w:val="00816469"/>
    <w:rsid w:val="008206D2"/>
    <w:rsid w:val="0082418A"/>
    <w:rsid w:val="0083239E"/>
    <w:rsid w:val="0083387E"/>
    <w:rsid w:val="00835BBE"/>
    <w:rsid w:val="00856E93"/>
    <w:rsid w:val="00864853"/>
    <w:rsid w:val="00866F9B"/>
    <w:rsid w:val="00867B90"/>
    <w:rsid w:val="00870E71"/>
    <w:rsid w:val="008729E9"/>
    <w:rsid w:val="00876FB6"/>
    <w:rsid w:val="00877320"/>
    <w:rsid w:val="00881D5E"/>
    <w:rsid w:val="00883F46"/>
    <w:rsid w:val="008913C7"/>
    <w:rsid w:val="00891EAD"/>
    <w:rsid w:val="008931B7"/>
    <w:rsid w:val="00893CCD"/>
    <w:rsid w:val="00894AA9"/>
    <w:rsid w:val="00896E7D"/>
    <w:rsid w:val="008A11BF"/>
    <w:rsid w:val="008A1642"/>
    <w:rsid w:val="008A6B31"/>
    <w:rsid w:val="008A73BE"/>
    <w:rsid w:val="008D187A"/>
    <w:rsid w:val="008D1D37"/>
    <w:rsid w:val="008D39CB"/>
    <w:rsid w:val="008D73AF"/>
    <w:rsid w:val="008E297D"/>
    <w:rsid w:val="008E505C"/>
    <w:rsid w:val="008E5765"/>
    <w:rsid w:val="008E69E7"/>
    <w:rsid w:val="008E6E78"/>
    <w:rsid w:val="008E7068"/>
    <w:rsid w:val="008E7A16"/>
    <w:rsid w:val="008F15F1"/>
    <w:rsid w:val="008F55EC"/>
    <w:rsid w:val="008F6146"/>
    <w:rsid w:val="009005B8"/>
    <w:rsid w:val="009046A6"/>
    <w:rsid w:val="00904B16"/>
    <w:rsid w:val="0090640A"/>
    <w:rsid w:val="00906A81"/>
    <w:rsid w:val="00910757"/>
    <w:rsid w:val="0091359C"/>
    <w:rsid w:val="00914A0C"/>
    <w:rsid w:val="0092219A"/>
    <w:rsid w:val="00931471"/>
    <w:rsid w:val="009405C5"/>
    <w:rsid w:val="00941034"/>
    <w:rsid w:val="0094484E"/>
    <w:rsid w:val="00945F97"/>
    <w:rsid w:val="009467FB"/>
    <w:rsid w:val="00946BFC"/>
    <w:rsid w:val="009478F0"/>
    <w:rsid w:val="0095167C"/>
    <w:rsid w:val="0096059F"/>
    <w:rsid w:val="00962708"/>
    <w:rsid w:val="009659E1"/>
    <w:rsid w:val="00966B3B"/>
    <w:rsid w:val="00972831"/>
    <w:rsid w:val="0097303D"/>
    <w:rsid w:val="0098505A"/>
    <w:rsid w:val="00992BBA"/>
    <w:rsid w:val="009931E1"/>
    <w:rsid w:val="00995D84"/>
    <w:rsid w:val="009A3CA1"/>
    <w:rsid w:val="009A55F4"/>
    <w:rsid w:val="009B588D"/>
    <w:rsid w:val="009B67DC"/>
    <w:rsid w:val="009B6FE6"/>
    <w:rsid w:val="009C2249"/>
    <w:rsid w:val="009C5001"/>
    <w:rsid w:val="009D1E51"/>
    <w:rsid w:val="009D33A6"/>
    <w:rsid w:val="009D3D36"/>
    <w:rsid w:val="009D433C"/>
    <w:rsid w:val="009D48FA"/>
    <w:rsid w:val="009D6344"/>
    <w:rsid w:val="009D6E92"/>
    <w:rsid w:val="009E06FF"/>
    <w:rsid w:val="009E3E51"/>
    <w:rsid w:val="009E4B30"/>
    <w:rsid w:val="009E54EF"/>
    <w:rsid w:val="009F221E"/>
    <w:rsid w:val="009F7AA9"/>
    <w:rsid w:val="00A0266F"/>
    <w:rsid w:val="00A1210D"/>
    <w:rsid w:val="00A1214C"/>
    <w:rsid w:val="00A12FD6"/>
    <w:rsid w:val="00A13C9E"/>
    <w:rsid w:val="00A14FCB"/>
    <w:rsid w:val="00A15408"/>
    <w:rsid w:val="00A274CD"/>
    <w:rsid w:val="00A27A90"/>
    <w:rsid w:val="00A33123"/>
    <w:rsid w:val="00A37A86"/>
    <w:rsid w:val="00A41B15"/>
    <w:rsid w:val="00A43BDC"/>
    <w:rsid w:val="00A44E58"/>
    <w:rsid w:val="00A45425"/>
    <w:rsid w:val="00A45BEE"/>
    <w:rsid w:val="00A50AA2"/>
    <w:rsid w:val="00A515D9"/>
    <w:rsid w:val="00A52CC5"/>
    <w:rsid w:val="00A5501A"/>
    <w:rsid w:val="00A61EA3"/>
    <w:rsid w:val="00A66DDF"/>
    <w:rsid w:val="00A678FB"/>
    <w:rsid w:val="00A704D9"/>
    <w:rsid w:val="00A70CFE"/>
    <w:rsid w:val="00A76E2B"/>
    <w:rsid w:val="00A770FE"/>
    <w:rsid w:val="00A866DC"/>
    <w:rsid w:val="00A94692"/>
    <w:rsid w:val="00A95F46"/>
    <w:rsid w:val="00A97627"/>
    <w:rsid w:val="00AA37BC"/>
    <w:rsid w:val="00AA4393"/>
    <w:rsid w:val="00AA7DE5"/>
    <w:rsid w:val="00AC262D"/>
    <w:rsid w:val="00AC442A"/>
    <w:rsid w:val="00AC49D6"/>
    <w:rsid w:val="00AC56F9"/>
    <w:rsid w:val="00AC5BE1"/>
    <w:rsid w:val="00AC6C98"/>
    <w:rsid w:val="00AC7113"/>
    <w:rsid w:val="00AC769D"/>
    <w:rsid w:val="00AD047B"/>
    <w:rsid w:val="00AD63D8"/>
    <w:rsid w:val="00AD6409"/>
    <w:rsid w:val="00AD707C"/>
    <w:rsid w:val="00AE0FD1"/>
    <w:rsid w:val="00AF225E"/>
    <w:rsid w:val="00AF3C79"/>
    <w:rsid w:val="00AF5224"/>
    <w:rsid w:val="00B06547"/>
    <w:rsid w:val="00B1120A"/>
    <w:rsid w:val="00B12533"/>
    <w:rsid w:val="00B13B5F"/>
    <w:rsid w:val="00B1486D"/>
    <w:rsid w:val="00B20A19"/>
    <w:rsid w:val="00B219E9"/>
    <w:rsid w:val="00B2234F"/>
    <w:rsid w:val="00B2301E"/>
    <w:rsid w:val="00B244EA"/>
    <w:rsid w:val="00B27EED"/>
    <w:rsid w:val="00B3116F"/>
    <w:rsid w:val="00B31572"/>
    <w:rsid w:val="00B31ED0"/>
    <w:rsid w:val="00B34E8F"/>
    <w:rsid w:val="00B36B1A"/>
    <w:rsid w:val="00B404BA"/>
    <w:rsid w:val="00B42ACA"/>
    <w:rsid w:val="00B47FAD"/>
    <w:rsid w:val="00B534E4"/>
    <w:rsid w:val="00B554FC"/>
    <w:rsid w:val="00B60312"/>
    <w:rsid w:val="00B61F31"/>
    <w:rsid w:val="00B636E4"/>
    <w:rsid w:val="00B74145"/>
    <w:rsid w:val="00B74601"/>
    <w:rsid w:val="00B802A9"/>
    <w:rsid w:val="00B830A9"/>
    <w:rsid w:val="00B908C1"/>
    <w:rsid w:val="00B94FF4"/>
    <w:rsid w:val="00BA431A"/>
    <w:rsid w:val="00BA6DB4"/>
    <w:rsid w:val="00BA774B"/>
    <w:rsid w:val="00BA7A1F"/>
    <w:rsid w:val="00BB024B"/>
    <w:rsid w:val="00BB2827"/>
    <w:rsid w:val="00BB5520"/>
    <w:rsid w:val="00BC1251"/>
    <w:rsid w:val="00BC1CF1"/>
    <w:rsid w:val="00BC3079"/>
    <w:rsid w:val="00BC348F"/>
    <w:rsid w:val="00BC3721"/>
    <w:rsid w:val="00BD1021"/>
    <w:rsid w:val="00BD19D0"/>
    <w:rsid w:val="00BD315D"/>
    <w:rsid w:val="00BD4207"/>
    <w:rsid w:val="00BD5783"/>
    <w:rsid w:val="00BE118C"/>
    <w:rsid w:val="00BE11B2"/>
    <w:rsid w:val="00BE4B91"/>
    <w:rsid w:val="00BE5C6C"/>
    <w:rsid w:val="00BF22FB"/>
    <w:rsid w:val="00C02563"/>
    <w:rsid w:val="00C06DF8"/>
    <w:rsid w:val="00C10467"/>
    <w:rsid w:val="00C10CB4"/>
    <w:rsid w:val="00C112D4"/>
    <w:rsid w:val="00C12F69"/>
    <w:rsid w:val="00C15D6D"/>
    <w:rsid w:val="00C20A70"/>
    <w:rsid w:val="00C30760"/>
    <w:rsid w:val="00C30778"/>
    <w:rsid w:val="00C42424"/>
    <w:rsid w:val="00C4361E"/>
    <w:rsid w:val="00C4509C"/>
    <w:rsid w:val="00C45EE0"/>
    <w:rsid w:val="00C46757"/>
    <w:rsid w:val="00C60F76"/>
    <w:rsid w:val="00C618FE"/>
    <w:rsid w:val="00C61DFA"/>
    <w:rsid w:val="00C64FB8"/>
    <w:rsid w:val="00C70A7F"/>
    <w:rsid w:val="00C718AB"/>
    <w:rsid w:val="00C74FAD"/>
    <w:rsid w:val="00C76356"/>
    <w:rsid w:val="00C76F9E"/>
    <w:rsid w:val="00C803CA"/>
    <w:rsid w:val="00C85D90"/>
    <w:rsid w:val="00C926C4"/>
    <w:rsid w:val="00CA31AB"/>
    <w:rsid w:val="00CA5E16"/>
    <w:rsid w:val="00CB472E"/>
    <w:rsid w:val="00CB7560"/>
    <w:rsid w:val="00CB788E"/>
    <w:rsid w:val="00CC02C4"/>
    <w:rsid w:val="00CC5567"/>
    <w:rsid w:val="00CC7803"/>
    <w:rsid w:val="00CD022A"/>
    <w:rsid w:val="00CD3183"/>
    <w:rsid w:val="00CD42AA"/>
    <w:rsid w:val="00CF4BA5"/>
    <w:rsid w:val="00CF55DE"/>
    <w:rsid w:val="00D03F4F"/>
    <w:rsid w:val="00D1042F"/>
    <w:rsid w:val="00D16645"/>
    <w:rsid w:val="00D1792D"/>
    <w:rsid w:val="00D206E2"/>
    <w:rsid w:val="00D20A2C"/>
    <w:rsid w:val="00D22B87"/>
    <w:rsid w:val="00D241A8"/>
    <w:rsid w:val="00D429A3"/>
    <w:rsid w:val="00D4613C"/>
    <w:rsid w:val="00D46EC9"/>
    <w:rsid w:val="00D46EEF"/>
    <w:rsid w:val="00D54759"/>
    <w:rsid w:val="00D60583"/>
    <w:rsid w:val="00D85313"/>
    <w:rsid w:val="00D94256"/>
    <w:rsid w:val="00D963BA"/>
    <w:rsid w:val="00D97830"/>
    <w:rsid w:val="00DA0C3F"/>
    <w:rsid w:val="00DA3E54"/>
    <w:rsid w:val="00DA42A9"/>
    <w:rsid w:val="00DA4500"/>
    <w:rsid w:val="00DB218F"/>
    <w:rsid w:val="00DC3774"/>
    <w:rsid w:val="00DC6ABB"/>
    <w:rsid w:val="00DD467C"/>
    <w:rsid w:val="00DD5916"/>
    <w:rsid w:val="00DD6C25"/>
    <w:rsid w:val="00DE17AD"/>
    <w:rsid w:val="00DE1C96"/>
    <w:rsid w:val="00DF2152"/>
    <w:rsid w:val="00DF6815"/>
    <w:rsid w:val="00E00ECB"/>
    <w:rsid w:val="00E018F5"/>
    <w:rsid w:val="00E0320F"/>
    <w:rsid w:val="00E0491F"/>
    <w:rsid w:val="00E05BF1"/>
    <w:rsid w:val="00E100EC"/>
    <w:rsid w:val="00E12FA7"/>
    <w:rsid w:val="00E25EFD"/>
    <w:rsid w:val="00E3227A"/>
    <w:rsid w:val="00E32DF4"/>
    <w:rsid w:val="00E33362"/>
    <w:rsid w:val="00E34261"/>
    <w:rsid w:val="00E374C6"/>
    <w:rsid w:val="00E424FF"/>
    <w:rsid w:val="00E46397"/>
    <w:rsid w:val="00E569C5"/>
    <w:rsid w:val="00E61BD4"/>
    <w:rsid w:val="00E62CC9"/>
    <w:rsid w:val="00E648D0"/>
    <w:rsid w:val="00E71C83"/>
    <w:rsid w:val="00E73B64"/>
    <w:rsid w:val="00E73BEB"/>
    <w:rsid w:val="00E807D1"/>
    <w:rsid w:val="00E809A5"/>
    <w:rsid w:val="00E83876"/>
    <w:rsid w:val="00E83FE7"/>
    <w:rsid w:val="00E8781A"/>
    <w:rsid w:val="00E92987"/>
    <w:rsid w:val="00E9380B"/>
    <w:rsid w:val="00E93C5D"/>
    <w:rsid w:val="00EA4549"/>
    <w:rsid w:val="00EA4BB1"/>
    <w:rsid w:val="00EA59BF"/>
    <w:rsid w:val="00EA6222"/>
    <w:rsid w:val="00EB1BEC"/>
    <w:rsid w:val="00EB2287"/>
    <w:rsid w:val="00EB24D0"/>
    <w:rsid w:val="00EB3886"/>
    <w:rsid w:val="00EB3D2B"/>
    <w:rsid w:val="00EC046C"/>
    <w:rsid w:val="00EC3B9D"/>
    <w:rsid w:val="00ED0ED8"/>
    <w:rsid w:val="00ED5F97"/>
    <w:rsid w:val="00ED629F"/>
    <w:rsid w:val="00EE10FC"/>
    <w:rsid w:val="00EE1F1C"/>
    <w:rsid w:val="00EE53C7"/>
    <w:rsid w:val="00EE5927"/>
    <w:rsid w:val="00EE70B2"/>
    <w:rsid w:val="00EF2585"/>
    <w:rsid w:val="00EF43C6"/>
    <w:rsid w:val="00EF5ABF"/>
    <w:rsid w:val="00EF6F4A"/>
    <w:rsid w:val="00F05FA8"/>
    <w:rsid w:val="00F0764A"/>
    <w:rsid w:val="00F1152A"/>
    <w:rsid w:val="00F123BB"/>
    <w:rsid w:val="00F126E2"/>
    <w:rsid w:val="00F1293D"/>
    <w:rsid w:val="00F15B51"/>
    <w:rsid w:val="00F16027"/>
    <w:rsid w:val="00F161E7"/>
    <w:rsid w:val="00F21412"/>
    <w:rsid w:val="00F31512"/>
    <w:rsid w:val="00F35D43"/>
    <w:rsid w:val="00F372BB"/>
    <w:rsid w:val="00F373E0"/>
    <w:rsid w:val="00F40277"/>
    <w:rsid w:val="00F416FD"/>
    <w:rsid w:val="00F424E8"/>
    <w:rsid w:val="00F43C23"/>
    <w:rsid w:val="00F46915"/>
    <w:rsid w:val="00F5142A"/>
    <w:rsid w:val="00F55BA7"/>
    <w:rsid w:val="00F60E6A"/>
    <w:rsid w:val="00F6143E"/>
    <w:rsid w:val="00F62E88"/>
    <w:rsid w:val="00F6313F"/>
    <w:rsid w:val="00F638E9"/>
    <w:rsid w:val="00F66884"/>
    <w:rsid w:val="00F74B13"/>
    <w:rsid w:val="00F75F3F"/>
    <w:rsid w:val="00F777E5"/>
    <w:rsid w:val="00F86A10"/>
    <w:rsid w:val="00F86AD1"/>
    <w:rsid w:val="00F92E3E"/>
    <w:rsid w:val="00F95432"/>
    <w:rsid w:val="00F95FF4"/>
    <w:rsid w:val="00FA1984"/>
    <w:rsid w:val="00FA6E3C"/>
    <w:rsid w:val="00FB0460"/>
    <w:rsid w:val="00FB0FB0"/>
    <w:rsid w:val="00FB494C"/>
    <w:rsid w:val="00FB5E0A"/>
    <w:rsid w:val="00FB5E34"/>
    <w:rsid w:val="00FB6120"/>
    <w:rsid w:val="00FD006D"/>
    <w:rsid w:val="00FD0DD1"/>
    <w:rsid w:val="00FD3998"/>
    <w:rsid w:val="00FE4BF1"/>
    <w:rsid w:val="00FE5700"/>
    <w:rsid w:val="00FE5AD7"/>
    <w:rsid w:val="00FE6194"/>
    <w:rsid w:val="00FF2740"/>
    <w:rsid w:val="00FF538F"/>
    <w:rsid w:val="00FF5E47"/>
    <w:rsid w:val="00FF7DB4"/>
    <w:rsid w:val="18E04701"/>
    <w:rsid w:val="4C343C28"/>
    <w:rsid w:val="7680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semiHidden/>
    <w:unhideWhenUsed/>
    <w:qFormat/>
    <w:uiPriority w:val="99"/>
    <w:pPr>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39"/>
    <w:pPr>
      <w:tabs>
        <w:tab w:val="right" w:leader="dot" w:pos="8296"/>
      </w:tabs>
    </w:pPr>
    <w:rPr>
      <w:rFonts w:ascii="仿宋" w:hAnsi="仿宋" w:eastAsia="仿宋"/>
      <w:b/>
      <w:sz w:val="32"/>
      <w:szCs w:val="32"/>
    </w:rPr>
  </w:style>
  <w:style w:type="paragraph" w:styleId="9">
    <w:name w:val="footnote text"/>
    <w:basedOn w:val="1"/>
    <w:link w:val="27"/>
    <w:semiHidden/>
    <w:unhideWhenUsed/>
    <w:qFormat/>
    <w:uiPriority w:val="99"/>
    <w:pPr>
      <w:snapToGrid w:val="0"/>
      <w:jc w:val="left"/>
    </w:pPr>
    <w:rPr>
      <w:sz w:val="18"/>
      <w:szCs w:val="18"/>
    </w:rPr>
  </w:style>
  <w:style w:type="paragraph" w:styleId="10">
    <w:name w:val="toc 2"/>
    <w:basedOn w:val="1"/>
    <w:next w:val="1"/>
    <w:qFormat/>
    <w:uiPriority w:val="39"/>
    <w:pPr>
      <w:tabs>
        <w:tab w:val="right" w:leader="dot" w:pos="8296"/>
      </w:tabs>
      <w:ind w:left="420" w:leftChars="200"/>
    </w:pPr>
    <w:rPr>
      <w:rFonts w:ascii="仿宋" w:hAnsi="仿宋" w:eastAsia="仿宋"/>
      <w:sz w:val="28"/>
    </w:rPr>
  </w:style>
  <w:style w:type="paragraph" w:styleId="11">
    <w:name w:val="annotation subject"/>
    <w:basedOn w:val="4"/>
    <w:next w:val="4"/>
    <w:link w:val="29"/>
    <w:semiHidden/>
    <w:unhideWhenUsed/>
    <w:qFormat/>
    <w:uiPriority w:val="99"/>
    <w:rPr>
      <w:b/>
      <w:bCs/>
    </w:r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3"/>
    <w:qFormat/>
    <w:uiPriority w:val="99"/>
    <w:rPr>
      <w:color w:val="0000FF"/>
      <w:u w:val="single"/>
    </w:rPr>
  </w:style>
  <w:style w:type="character" w:styleId="16">
    <w:name w:val="annotation reference"/>
    <w:basedOn w:val="13"/>
    <w:semiHidden/>
    <w:unhideWhenUsed/>
    <w:qFormat/>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页眉 字符"/>
    <w:basedOn w:val="13"/>
    <w:link w:val="7"/>
    <w:qFormat/>
    <w:uiPriority w:val="99"/>
    <w:rPr>
      <w:sz w:val="18"/>
      <w:szCs w:val="18"/>
    </w:rPr>
  </w:style>
  <w:style w:type="character" w:customStyle="1" w:styleId="19">
    <w:name w:val="页脚 字符"/>
    <w:basedOn w:val="13"/>
    <w:link w:val="6"/>
    <w:qFormat/>
    <w:uiPriority w:val="99"/>
    <w:rPr>
      <w:sz w:val="18"/>
      <w:szCs w:val="18"/>
    </w:rPr>
  </w:style>
  <w:style w:type="character" w:customStyle="1" w:styleId="20">
    <w:name w:val="标题 1 字符"/>
    <w:basedOn w:val="13"/>
    <w:link w:val="2"/>
    <w:qFormat/>
    <w:uiPriority w:val="9"/>
    <w:rPr>
      <w:rFonts w:ascii="Calibri" w:hAnsi="Calibri" w:eastAsia="宋体" w:cs="宋体"/>
      <w:b/>
      <w:bCs/>
      <w:kern w:val="44"/>
      <w:sz w:val="44"/>
      <w:szCs w:val="44"/>
    </w:rPr>
  </w:style>
  <w:style w:type="character" w:customStyle="1" w:styleId="21">
    <w:name w:val="标题 2 字符"/>
    <w:basedOn w:val="13"/>
    <w:link w:val="3"/>
    <w:qFormat/>
    <w:uiPriority w:val="9"/>
    <w:rPr>
      <w:rFonts w:ascii="Cambria" w:hAnsi="Cambria" w:eastAsia="宋体" w:cs="宋体"/>
      <w:b/>
      <w:bCs/>
      <w:sz w:val="32"/>
      <w:szCs w:val="32"/>
    </w:rPr>
  </w:style>
  <w:style w:type="character" w:customStyle="1" w:styleId="22">
    <w:name w:val="未处理的提及1"/>
    <w:basedOn w:val="13"/>
    <w:semiHidden/>
    <w:unhideWhenUsed/>
    <w:qFormat/>
    <w:uiPriority w:val="99"/>
    <w:rPr>
      <w:color w:val="605E5C"/>
      <w:shd w:val="clear" w:color="auto" w:fill="E1DFDD"/>
    </w:rPr>
  </w:style>
  <w:style w:type="paragraph" w:styleId="23">
    <w:name w:val="List Paragraph"/>
    <w:basedOn w:val="1"/>
    <w:qFormat/>
    <w:uiPriority w:val="34"/>
    <w:pPr>
      <w:ind w:firstLine="420" w:firstLineChars="200"/>
    </w:pPr>
  </w:style>
  <w:style w:type="character" w:customStyle="1" w:styleId="24">
    <w:name w:val="批注框文本 字符"/>
    <w:basedOn w:val="13"/>
    <w:link w:val="5"/>
    <w:semiHidden/>
    <w:qFormat/>
    <w:uiPriority w:val="99"/>
    <w:rPr>
      <w:rFonts w:ascii="Calibri" w:hAnsi="Calibri" w:eastAsia="宋体" w:cs="宋体"/>
      <w:sz w:val="18"/>
      <w:szCs w:val="18"/>
    </w:rPr>
  </w:style>
  <w:style w:type="character" w:customStyle="1" w:styleId="25">
    <w:name w:val="Unresolved Mention"/>
    <w:basedOn w:val="13"/>
    <w:semiHidden/>
    <w:unhideWhenUsed/>
    <w:qFormat/>
    <w:uiPriority w:val="99"/>
    <w:rPr>
      <w:color w:val="605E5C"/>
      <w:shd w:val="clear" w:color="auto" w:fill="E1DFDD"/>
    </w:rPr>
  </w:style>
  <w:style w:type="paragraph" w:customStyle="1" w:styleId="26">
    <w:name w:val="Revision"/>
    <w:hidden/>
    <w:semiHidden/>
    <w:qFormat/>
    <w:uiPriority w:val="99"/>
    <w:rPr>
      <w:rFonts w:ascii="Calibri" w:hAnsi="Calibri" w:eastAsia="宋体" w:cs="宋体"/>
      <w:kern w:val="2"/>
      <w:sz w:val="21"/>
      <w:szCs w:val="22"/>
      <w:lang w:val="en-US" w:eastAsia="zh-CN" w:bidi="ar-SA"/>
    </w:rPr>
  </w:style>
  <w:style w:type="character" w:customStyle="1" w:styleId="27">
    <w:name w:val="脚注文本 字符"/>
    <w:basedOn w:val="13"/>
    <w:link w:val="9"/>
    <w:semiHidden/>
    <w:qFormat/>
    <w:uiPriority w:val="99"/>
    <w:rPr>
      <w:rFonts w:ascii="Calibri" w:hAnsi="Calibri" w:eastAsia="宋体" w:cs="宋体"/>
      <w:kern w:val="2"/>
      <w:sz w:val="18"/>
      <w:szCs w:val="18"/>
    </w:rPr>
  </w:style>
  <w:style w:type="character" w:customStyle="1" w:styleId="28">
    <w:name w:val="批注文字 字符"/>
    <w:basedOn w:val="13"/>
    <w:link w:val="4"/>
    <w:semiHidden/>
    <w:qFormat/>
    <w:uiPriority w:val="99"/>
    <w:rPr>
      <w:rFonts w:ascii="Calibri" w:hAnsi="Calibri" w:eastAsia="宋体" w:cs="宋体"/>
      <w:kern w:val="2"/>
      <w:sz w:val="21"/>
      <w:szCs w:val="22"/>
    </w:rPr>
  </w:style>
  <w:style w:type="character" w:customStyle="1" w:styleId="29">
    <w:name w:val="批注主题 字符"/>
    <w:basedOn w:val="28"/>
    <w:link w:val="11"/>
    <w:semiHidden/>
    <w:qFormat/>
    <w:uiPriority w:val="99"/>
    <w:rPr>
      <w:rFonts w:ascii="Calibri" w:hAnsi="Calibri" w:eastAsia="宋体" w:cs="宋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0EC5E-CB83-4401-BEF8-FA8824D3CA40}">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2045</Words>
  <Characters>2054</Characters>
  <Lines>14</Lines>
  <Paragraphs>4</Paragraphs>
  <TotalTime>4</TotalTime>
  <ScaleCrop>false</ScaleCrop>
  <LinksUpToDate>false</LinksUpToDate>
  <CharactersWithSpaces>2058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2024-10-21T08:31:00Z</dcterms:created>
  <dc:creator>sd-bzt</dc:creator>
  <cp:lastModifiedBy>张艳丽</cp:lastModifiedBy>
  <cp:lastPrinted>2021-08-27T08:03:00Z</cp:lastPrinted>
  <dcterms:modified xsi:type="dcterms:W3CDTF">2024-10-22T05:52:44Z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E7872554F211430ABCDAE104B333A3C1_12</vt:lpwstr>
  </property>
</Properties>
</file>